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Work Sans" w:cs="Work Sans" w:eastAsia="Work Sans" w:hAnsi="Work Sans"/>
          <w:b w:val="1"/>
          <w:color w:val="06b7d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  <w:rtl w:val="0"/>
        </w:rPr>
        <w:t xml:space="preserve">Definición de la calidad del trabajo</w:t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Un trabajo de alta calidad es aquel que proporciona todas </w:t>
      </w:r>
      <w:r w:rsidDel="00000000" w:rsidR="00000000" w:rsidRPr="00000000">
        <w:rPr>
          <w:rFonts w:ascii="Work Sans" w:cs="Work Sans" w:eastAsia="Work Sans" w:hAnsi="Work Sans"/>
          <w:color w:val="f69554"/>
          <w:sz w:val="24"/>
          <w:szCs w:val="24"/>
          <w:rtl w:val="0"/>
        </w:rPr>
        <w:t xml:space="preserve">las necesidades, un camino de oportunidad y características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que se alinean bien con las metas y circunstancias del individuo.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rPr>
          <w:rFonts w:ascii="Work Sans" w:cs="Work Sans" w:eastAsia="Work Sans" w:hAnsi="Work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Encuentre el resto de la información fundamental sobre la calidad del trabajo en este sitio de web: </w:t>
      </w:r>
      <w:hyperlink r:id="rId6">
        <w:r w:rsidDel="00000000" w:rsidR="00000000" w:rsidRPr="00000000">
          <w:rPr>
            <w:rFonts w:ascii="Work Sans" w:cs="Work Sans" w:eastAsia="Work Sans" w:hAnsi="Work Sans"/>
            <w:color w:val="0563c1"/>
            <w:sz w:val="24"/>
            <w:szCs w:val="24"/>
            <w:u w:val="single"/>
            <w:rtl w:val="0"/>
          </w:rPr>
          <w:t xml:space="preserve">workforce.org/jobquality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373f5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f7cbac" w:space="0" w:sz="4" w:val="single"/>
          <w:left w:color="f7cbac" w:space="0" w:sz="4" w:val="single"/>
          <w:bottom w:color="f7cbac" w:space="0" w:sz="4" w:val="single"/>
          <w:right w:color="f7cbac" w:space="0" w:sz="4" w:val="single"/>
          <w:insideH w:color="f7cbac" w:space="0" w:sz="4" w:val="single"/>
          <w:insideV w:color="f7cbac" w:space="0" w:sz="4" w:val="single"/>
        </w:tblBorders>
        <w:tblLayout w:type="fixed"/>
        <w:tblLook w:val="04A0"/>
      </w:tblPr>
      <w:tblGrid>
        <w:gridCol w:w="3255"/>
        <w:gridCol w:w="1680"/>
        <w:gridCol w:w="1980"/>
        <w:gridCol w:w="2655"/>
        <w:tblGridChange w:id="0">
          <w:tblGrid>
            <w:gridCol w:w="3255"/>
            <w:gridCol w:w="1680"/>
            <w:gridCol w:w="1980"/>
            <w:gridCol w:w="26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8"/>
                <w:szCs w:val="28"/>
                <w:rtl w:val="0"/>
              </w:rPr>
              <w:t xml:space="preserve">Evaluar un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373f5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373f51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373f5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373f51"/>
                <w:sz w:val="24"/>
                <w:szCs w:val="24"/>
                <w:rtl w:val="0"/>
              </w:rPr>
              <w:t xml:space="preserve">¿Es importante?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¿Tu horario es estable?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¿Son seguras sus condiciones de trabajo?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¿Existe un departamento de recursos humanos al que pueda acudir con inquietudes y necesidades?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¿Tiene claro lo que significa hacerlo bien en su trabajo?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¿Existe comunicación abierta con su gerente y otros?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¿Te sientes empoderado y apoyado?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¿Tienes oportunidades de aprender y crecer?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¿Cómo apoya su lugar de trabajo su salud y bienestar?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¿Cómo la apoya su lugar de trabajo con alimentos, transporte, cuidado de niños y vivienda?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¿Proporcionan licencia familiar y médica y tiempo libre pagado?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¿Tu horario es flexible?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¿Tienes seguridad/estabilidad laboral?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Work Sans" w:cs="Work Sans" w:eastAsia="Work Sans" w:hAnsi="Work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0"/>
                <w:sz w:val="24"/>
                <w:szCs w:val="24"/>
                <w:rtl w:val="0"/>
              </w:rPr>
              <w:t xml:space="preserve">¿Tu trabajo se siente significativo?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rFonts w:ascii="Work Sans" w:cs="Work Sans" w:eastAsia="Work Sans" w:hAnsi="Work Sans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Work Sans" w:cs="Work Sans" w:eastAsia="Work Sans" w:hAnsi="Work Sans"/>
          <w:b w:val="1"/>
          <w:color w:val="06b7d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Work Sans" w:cs="Work Sans" w:eastAsia="Work Sans" w:hAnsi="Work Sans"/>
          <w:color w:val="373f5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-108.0" w:type="dxa"/>
        <w:tblBorders>
          <w:top w:color="f7cbac" w:space="0" w:sz="4" w:val="single"/>
          <w:left w:color="f7cbac" w:space="0" w:sz="4" w:val="single"/>
          <w:bottom w:color="f7cbac" w:space="0" w:sz="4" w:val="single"/>
          <w:right w:color="f7cbac" w:space="0" w:sz="4" w:val="single"/>
          <w:insideH w:color="f7cbac" w:space="0" w:sz="4" w:val="single"/>
          <w:insideV w:color="f7cbac" w:space="0" w:sz="4" w:val="single"/>
        </w:tblBorders>
        <w:tblLayout w:type="fixed"/>
        <w:tblLook w:val="0400"/>
      </w:tblPr>
      <w:tblGrid>
        <w:gridCol w:w="1470"/>
        <w:gridCol w:w="8055"/>
        <w:tblGridChange w:id="0">
          <w:tblGrid>
            <w:gridCol w:w="1470"/>
            <w:gridCol w:w="80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Work Sans" w:cs="Work Sans" w:eastAsia="Work Sans" w:hAnsi="Work Sans"/>
                <w:b w:val="1"/>
                <w:color w:val="373f51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06b7df"/>
                <w:sz w:val="28"/>
                <w:szCs w:val="28"/>
                <w:u w:val="single"/>
                <w:rtl w:val="0"/>
              </w:rPr>
              <w:t xml:space="preserve">Empresas minoristas que brindan diversos aspectos de la calidad del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Work Sans" w:cs="Work Sans" w:eastAsia="Work Sans" w:hAnsi="Work Sans"/>
                <w:b w:val="1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373f51"/>
                <w:sz w:val="24"/>
                <w:szCs w:val="24"/>
                <w:rtl w:val="0"/>
              </w:rPr>
              <w:t xml:space="preserve">Empresa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4e4e4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Work Sans" w:cs="Work Sans" w:eastAsia="Work Sans" w:hAnsi="Work Sans"/>
                <w:b w:val="1"/>
                <w:color w:val="373f5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373f51"/>
                <w:sz w:val="24"/>
                <w:szCs w:val="24"/>
                <w:rtl w:val="0"/>
              </w:rPr>
              <w:t xml:space="preserve">Lo más destacado de la calidad del trabajo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Costco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-126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Costco compensa bien a los empleados por hora según los estándares minoristas. También brindan cobertura de atención médica para empleados de tiempo completo y medio tiempo, planes de jubilación, tiempo libre pagado, garantías de horas mínimas programadas y horarios semanales publicados con al menos dos semanas de anticipación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Trader Joe’s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Trader Joe's ofrece salarios competitivos, revisiones de desempeño dos veces al año y la posibilidad de recibir un % de aumento anual. También ofrecen un plan de jubilación 401k, planes de salud, dentales y de la vista, tiempo libre pagado y oportunidades de crecimiento laboral. También ofrecen capacitación en liderazgo, programas de becas, recuperación ante desastres, programas de asistencia para empleados y reubicaciones y transferencias.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8.6800000000003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CVS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CVS se dedica a proporcionar salarios y beneficios competitivos que incluyen gastos médicos, de prescripción, dentales, oftalmológicos y contribución de la empresa a una cuenta de ahorros para la salud (HAS), plan de compra de acciones de colegas, beneficios de adopción, seguro de vida, accidentes y discapacidad, tiempo libre pagado, matrícula reembolso, programas de bienestar y reconocimiento de empleados.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Hyatt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Hyatt</w:t>
            </w: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 ofrece oportunidades para crecer dentro de la empresa y beneficios médicos, dentales, oftalmológicos y de jubilación. También ofrecen un plan de recetas, discapacidad, seguro de vida, tiempo libre pagado, un programa de asistencia al empleado y asistencia educativa.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Starbucks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Starbucks es conocido por brindar a sus empleados, elegibles a tiempo parcial y completo, excelentes beneficios. Estos incluyen cobertura de salud, plan 401k, acciones de la compañía con descuento, tiempo libre pagado, licencia por paternidad, cobertura de matrícula, beneficios de viajero y asistencia para socios.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Chipotle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Chipotle ofrece a los miembros de la tripulación un bono trimestral, asistencia educativa, tiempo libre pagado, programas de asistencia médica y planes de jubilación 401K.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Work Sans" w:cs="Work Sans" w:eastAsia="Work Sans" w:hAnsi="Work Sans"/>
                  <w:sz w:val="24"/>
                  <w:szCs w:val="24"/>
                  <w:u w:val="single"/>
                  <w:rtl w:val="0"/>
                </w:rPr>
                <w:t xml:space="preserve">In-N-Out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In-N-Out ofrece a los empleados de tiempo parcial y dependientes elegibles beneficios dentales y de la vista, seguro de vida, un programa de asistencia para asociados, tiempo libre pagado, participación en las ganancias y un plan de jubilación, los dos últimos después de cumplir con los requisitos de elegibilidad.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40" w:lineRule="auto"/>
        <w:rPr>
          <w:rFonts w:ascii="Work Sans" w:cs="Work Sans" w:eastAsia="Work Sans" w:hAnsi="Work Sans"/>
          <w:b w:val="1"/>
          <w:color w:val="06b7d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5448300</wp:posOffset>
          </wp:positionH>
          <wp:positionV relativeFrom="paragraph">
            <wp:posOffset>-29492</wp:posOffset>
          </wp:positionV>
          <wp:extent cx="1047514" cy="698729"/>
          <wp:effectExtent b="0" l="0" r="0" t="0"/>
          <wp:wrapSquare wrapText="bothSides" distB="0" distT="0" distL="0" distR="0"/>
          <wp:docPr descr="A picture containing font, graphics, symbol, screenshot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font, graphics, symbol, screensho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514" cy="6987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-238124</wp:posOffset>
          </wp:positionV>
          <wp:extent cx="852488" cy="580573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5805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228600" distT="228600" distL="228600" distR="228600" hidden="0" layoutInCell="1" locked="0" relativeHeight="0" simplePos="0">
              <wp:simplePos x="0" y="0"/>
              <wp:positionH relativeFrom="page">
                <wp:posOffset>1962150</wp:posOffset>
              </wp:positionH>
              <wp:positionV relativeFrom="page">
                <wp:posOffset>104775</wp:posOffset>
              </wp:positionV>
              <wp:extent cx="5448300" cy="733425"/>
              <wp:effectExtent b="0" l="0" r="0" t="0"/>
              <wp:wrapSquare wrapText="bothSides" distB="228600" distT="228600" distL="228600" distR="2286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51325" y="1040750"/>
                        <a:ext cx="5448300" cy="733425"/>
                        <a:chOff x="1851325" y="1040750"/>
                        <a:chExt cx="5433925" cy="7143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1851325" y="1040750"/>
                          <a:ext cx="5433900" cy="7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2"/>
                                <w:vertAlign w:val="baseline"/>
                              </w:rPr>
                              <w:t xml:space="preserve">Evaluación de la calidad del empleo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f69554"/>
                                <w:sz w:val="32"/>
                                <w:vertAlign w:val="baseline"/>
                              </w:rPr>
                              <w:t xml:space="preserve">Experiencia Práctica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CnPr/>
                      <wps:spPr>
                        <a:xfrm rot="10800000">
                          <a:off x="3482425" y="1391000"/>
                          <a:ext cx="3802800" cy="6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6955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228600" distT="228600" distL="228600" distR="228600" hidden="0" layoutInCell="1" locked="0" relativeHeight="0" simplePos="0">
              <wp:simplePos x="0" y="0"/>
              <wp:positionH relativeFrom="page">
                <wp:posOffset>1962150</wp:posOffset>
              </wp:positionH>
              <wp:positionV relativeFrom="page">
                <wp:posOffset>104775</wp:posOffset>
              </wp:positionV>
              <wp:extent cx="5448300" cy="733425"/>
              <wp:effectExtent b="0" l="0" r="0" t="0"/>
              <wp:wrapSquare wrapText="bothSides" distB="228600" distT="228600" distL="228600" distR="2286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4b083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083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tarbucks.com/careers/working-at-starbucks/benefits-and-perks/" TargetMode="External"/><Relationship Id="rId10" Type="http://schemas.openxmlformats.org/officeDocument/2006/relationships/hyperlink" Target="https://www.careerbuilder.com/company/hyatt-hotels/C8D7BN6GV5F6ZYT9WDZ" TargetMode="External"/><Relationship Id="rId13" Type="http://schemas.openxmlformats.org/officeDocument/2006/relationships/hyperlink" Target="https://www.in-n-out.com/employment/restaurant/part-time-benefits" TargetMode="External"/><Relationship Id="rId12" Type="http://schemas.openxmlformats.org/officeDocument/2006/relationships/hyperlink" Target="https://jobs.chipotle.com/benefi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bs.cvshealth.com/working-at-cvs/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orkforce.org/jobquality" TargetMode="External"/><Relationship Id="rId7" Type="http://schemas.openxmlformats.org/officeDocument/2006/relationships/hyperlink" Target="https://www.costco.com/sustainability-employees.html" TargetMode="External"/><Relationship Id="rId8" Type="http://schemas.openxmlformats.org/officeDocument/2006/relationships/hyperlink" Target="https://www.traderjoes.com/home/careers/what-we-off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