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71" w:rightFromText="171" w:bottomFromText="115" w:vertAnchor="text" w:tblpXSpec="center"/>
        <w:tblW w:w="10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3"/>
      </w:tblGrid>
      <w:tr w:rsidR="00F26667" w14:paraId="57C1B742" w14:textId="77777777" w:rsidTr="00F26667">
        <w:trPr>
          <w:trHeight w:val="1230"/>
        </w:trPr>
        <w:tc>
          <w:tcPr>
            <w:tcW w:w="1085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CDBD" w14:textId="77777777" w:rsidR="00F26667" w:rsidRDefault="00F26667" w:rsidP="00634445">
            <w:pPr>
              <w:pStyle w:val="NormalWeb"/>
              <w:spacing w:before="150" w:beforeAutospacing="0" w:after="150" w:afterAutospacing="0" w:line="252" w:lineRule="auto"/>
              <w:rPr>
                <w:rStyle w:val="Strong"/>
                <w:rFonts w:ascii="Arial" w:hAnsi="Arial" w:cs="Arial"/>
                <w:color w:val="F5C141"/>
              </w:rPr>
            </w:pPr>
            <w:r>
              <w:rPr>
                <w:rStyle w:val="Strong"/>
                <w:rFonts w:ascii="Arial" w:hAnsi="Arial" w:cs="Arial"/>
                <w:color w:val="F5C141"/>
                <w:sz w:val="20"/>
                <w:szCs w:val="20"/>
              </w:rPr>
              <w:t>May 2020</w:t>
            </w:r>
          </w:p>
          <w:p w14:paraId="01988848" w14:textId="77777777" w:rsidR="00F26667" w:rsidRDefault="00F26667" w:rsidP="00634445">
            <w:pPr>
              <w:pStyle w:val="Heading1"/>
              <w:spacing w:before="0" w:beforeAutospacing="0" w:after="150" w:afterAutospacing="0" w:line="252" w:lineRule="auto"/>
              <w:rPr>
                <w:rFonts w:eastAsia="Times New Roman"/>
                <w:color w:val="FFFFFF"/>
                <w:sz w:val="60"/>
                <w:szCs w:val="60"/>
              </w:rPr>
            </w:pPr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EDD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>CalJOBS</w:t>
            </w:r>
            <w:r>
              <w:rPr>
                <w:rFonts w:ascii="Arial" w:eastAsia="Times New Roman" w:hAnsi="Arial" w:cs="Arial"/>
                <w:color w:val="FFFFFF"/>
                <w:sz w:val="60"/>
                <w:szCs w:val="60"/>
                <w:vertAlign w:val="superscript"/>
              </w:rPr>
              <w:t>SM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 Update</w:t>
            </w:r>
          </w:p>
          <w:p w14:paraId="53B0E39C" w14:textId="77777777" w:rsidR="00F26667" w:rsidRDefault="00F26667" w:rsidP="00634445">
            <w:pPr>
              <w:pStyle w:val="Heading2"/>
              <w:spacing w:line="252" w:lineRule="auto"/>
              <w:rPr>
                <w:rFonts w:ascii="Arial" w:eastAsia="Times New Roman" w:hAnsi="Arial" w:cs="Arial"/>
                <w:color w:val="F5C14D"/>
                <w:sz w:val="39"/>
                <w:szCs w:val="39"/>
              </w:rPr>
            </w:pPr>
            <w:r>
              <w:rPr>
                <w:rFonts w:ascii="Arial" w:eastAsia="Times New Roman" w:hAnsi="Arial" w:cs="Arial"/>
                <w:color w:val="F5C14D"/>
                <w:sz w:val="39"/>
                <w:szCs w:val="39"/>
              </w:rPr>
              <w:t>Updates Newsletter</w:t>
            </w:r>
          </w:p>
          <w:tbl>
            <w:tblPr>
              <w:tblW w:w="495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8"/>
              <w:gridCol w:w="3899"/>
            </w:tblGrid>
            <w:tr w:rsidR="00F26667" w14:paraId="483CF053" w14:textId="77777777">
              <w:trPr>
                <w:trHeight w:val="1044"/>
                <w:jc w:val="center"/>
              </w:trPr>
              <w:tc>
                <w:tcPr>
                  <w:tcW w:w="3150" w:type="pct"/>
                  <w:shd w:val="clear" w:color="auto" w:fill="FFFFFF"/>
                  <w:hideMark/>
                </w:tcPr>
                <w:p w14:paraId="4418AD04" w14:textId="77777777" w:rsidR="00F26667" w:rsidRDefault="00F26667" w:rsidP="00F26667">
                  <w:pPr>
                    <w:pStyle w:val="Heading2"/>
                    <w:framePr w:hSpace="171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t>CalJOBS Preview Update</w:t>
                  </w:r>
                </w:p>
                <w:p w14:paraId="01B2537D" w14:textId="77777777" w:rsidR="00F26667" w:rsidRDefault="00F26667" w:rsidP="00F26667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Resume Builder Table Headings</w:t>
                  </w:r>
                </w:p>
                <w:p w14:paraId="31399E81" w14:textId="77777777" w:rsidR="00F26667" w:rsidRDefault="00F26667" w:rsidP="00F26667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Resume builder has a column titled “Viewable Online by Employers” which describes whether a resume is viewable or not viewable (Online/Not Online). The new values under this column will be Yes, No, No - incomplete and No-expired.</w:t>
                  </w:r>
                </w:p>
                <w:p w14:paraId="0A828845" w14:textId="345CF04E" w:rsidR="00F26667" w:rsidRDefault="00F26667" w:rsidP="00F26667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2EDE422" wp14:editId="10B96B7A">
                        <wp:extent cx="1835150" cy="7620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51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CB27B88" w14:textId="77777777" w:rsidR="00F26667" w:rsidRDefault="00F26667" w:rsidP="00F26667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Individuals</w:t>
                  </w:r>
                </w:p>
                <w:p w14:paraId="763A00A5" w14:textId="77777777" w:rsidR="00F26667" w:rsidRDefault="00F26667" w:rsidP="00F26667">
                  <w:pPr>
                    <w:pStyle w:val="Heading2"/>
                    <w:framePr w:hSpace="171" w:wrap="around" w:vAnchor="text" w:hAnchor="text" w:xAlign="center"/>
                    <w:spacing w:before="150"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t>CalJOBS Production Update</w:t>
                  </w:r>
                </w:p>
                <w:p w14:paraId="2A37BDE4" w14:textId="77777777" w:rsidR="00F26667" w:rsidRDefault="00F26667" w:rsidP="00F26667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New Citizenship reason on the WIOA Pre-Application </w:t>
                  </w:r>
                </w:p>
                <w:p w14:paraId="377CA8B9" w14:textId="77777777" w:rsidR="00F26667" w:rsidRDefault="00F26667" w:rsidP="00F26667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Individuals can now select Not Disclosed as a citizenship reason on the WIOA Pre-Application. This will allow staff to move forward with the pre-app and the full WIOA application without being stopped.</w:t>
                  </w:r>
                </w:p>
                <w:p w14:paraId="44619354" w14:textId="77777777" w:rsidR="00F26667" w:rsidRDefault="00F26667" w:rsidP="00F26667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Staff, Individuals</w:t>
                  </w:r>
                </w:p>
                <w:p w14:paraId="6E5DDA59" w14:textId="77777777" w:rsidR="00F26667" w:rsidRDefault="00F26667" w:rsidP="00F26667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 xml:space="preserve">Total Participants by Grant Predictive report not showing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>Coenrollment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 xml:space="preserve"> </w:t>
                  </w:r>
                </w:p>
                <w:p w14:paraId="218E8A8F" w14:textId="77777777" w:rsidR="00F26667" w:rsidRDefault="00F26667" w:rsidP="00F26667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The Total Participants by Grant report was only showing WP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Coenrollments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and no Adult or DW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Coenrollments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 The vendor has resolved this issue and the report is now accurately reflecting co-enrollment with WIOA/WP programs.</w:t>
                  </w:r>
                </w:p>
                <w:p w14:paraId="74665E19" w14:textId="77777777" w:rsidR="00F26667" w:rsidRDefault="00F26667" w:rsidP="00F26667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Path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r>
                    <w:t> </w:t>
                  </w:r>
                  <w:r>
                    <w:rPr>
                      <w:rFonts w:ascii="Arial" w:hAnsi="Arial" w:cs="Arial"/>
                      <w:color w:val="000000"/>
                    </w:rPr>
                    <w:t>Detailed Reports-Predictive-Total Participants by Grant</w:t>
                  </w:r>
                </w:p>
                <w:p w14:paraId="1634D03B" w14:textId="77777777" w:rsidR="00F26667" w:rsidRDefault="00F26667" w:rsidP="00F26667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  <w:p w14:paraId="032537B0" w14:textId="77777777" w:rsidR="00F26667" w:rsidRDefault="00F26667" w:rsidP="00F26667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>Custom Report - Enrollment Roster</w:t>
                  </w:r>
                </w:p>
                <w:p w14:paraId="45D5FCA8" w14:textId="77777777" w:rsidR="00F26667" w:rsidRDefault="00F26667" w:rsidP="00F26667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Staff reported that when trying to run the Custom Report - Enrollment Roster, they enter the date range of Current Program </w:t>
                  </w: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Year, the loading icon next to the date filter continues to spin, and the report does not complete the process of selecting a date range. The vendor has resolved this issue.</w:t>
                  </w:r>
                </w:p>
                <w:p w14:paraId="3D4A88D5" w14:textId="77777777" w:rsidR="00F26667" w:rsidRDefault="00F26667" w:rsidP="00F26667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Path</w:t>
                  </w:r>
                  <w:r>
                    <w:rPr>
                      <w:rFonts w:ascii="Arial" w:hAnsi="Arial" w:cs="Arial"/>
                      <w:color w:val="000000"/>
                    </w:rPr>
                    <w:t>: Custom Report-Locally Developed-California-Enrollment Roster</w:t>
                  </w:r>
                </w:p>
                <w:p w14:paraId="6F702F03" w14:textId="77777777" w:rsidR="00F26667" w:rsidRDefault="00F26667" w:rsidP="00F26667">
                  <w:pPr>
                    <w:framePr w:hSpace="171" w:wrap="around" w:vAnchor="text" w:hAnchor="text" w:xAlign="center"/>
                    <w:spacing w:before="150" w:after="150" w:line="252" w:lineRule="auto"/>
                    <w:ind w:left="27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F5496"/>
                    </w:rPr>
                    <w:t>Customer Impacted:</w:t>
                  </w:r>
                  <w:r>
                    <w:rPr>
                      <w:rFonts w:ascii="Arial" w:hAnsi="Arial" w:cs="Arial"/>
                      <w:color w:val="2F549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Staff</w:t>
                  </w:r>
                </w:p>
              </w:tc>
              <w:tc>
                <w:tcPr>
                  <w:tcW w:w="1850" w:type="pct"/>
                  <w:shd w:val="clear" w:color="auto" w:fill="FFFFFF"/>
                  <w:vAlign w:val="center"/>
                </w:tcPr>
                <w:tbl>
                  <w:tblPr>
                    <w:tblpPr w:leftFromText="36" w:rightFromText="36" w:bottomFromText="115" w:vertAnchor="text"/>
                    <w:tblW w:w="4355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7"/>
                  </w:tblGrid>
                  <w:tr w:rsidR="00F26667" w14:paraId="5B07224D" w14:textId="77777777">
                    <w:trPr>
                      <w:trHeight w:val="1080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p w14:paraId="3DC88BEA" w14:textId="77777777" w:rsidR="00F26667" w:rsidRDefault="00F26667" w:rsidP="00F26667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lastRenderedPageBreak/>
                          <w:t>Announcements</w:t>
                        </w:r>
                      </w:p>
                      <w:p w14:paraId="51AC535E" w14:textId="77777777" w:rsidR="00F26667" w:rsidRDefault="00F26667" w:rsidP="00F26667">
                        <w:pPr>
                          <w:spacing w:before="100" w:beforeAutospacing="1" w:after="100" w:afterAutospacing="1" w:line="252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There are no current announcements.</w:t>
                        </w:r>
                      </w:p>
                    </w:tc>
                  </w:tr>
                  <w:tr w:rsidR="00F26667" w14:paraId="4A5CE6F7" w14:textId="77777777">
                    <w:trPr>
                      <w:trHeight w:val="1893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3BBBC60E" w14:textId="77777777" w:rsidR="00F26667" w:rsidRDefault="00F26667" w:rsidP="00F26667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CalJOBS Notifications – In Progress</w:t>
                        </w:r>
                      </w:p>
                      <w:p w14:paraId="2DA9D803" w14:textId="77777777" w:rsidR="00F26667" w:rsidRDefault="00F26667" w:rsidP="00F26667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  <w:t>2020-3 CalJOBS Notification - CalJOBS CRM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 - Error Occurs When Converting a Marketing Lead to a Recruiting Lead</w:t>
                        </w:r>
                      </w:p>
                      <w:p w14:paraId="67D0A528" w14:textId="77777777" w:rsidR="00F26667" w:rsidRDefault="00F26667" w:rsidP="00F26667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  <w:t>2020-15 CalJOBS Notification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 - CalJOBS Password Reset Issue - Yellow</w:t>
                        </w:r>
                      </w:p>
                    </w:tc>
                  </w:tr>
                  <w:tr w:rsidR="00F26667" w14:paraId="4B5C228C" w14:textId="77777777">
                    <w:trPr>
                      <w:trHeight w:val="537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69158019" w14:textId="77777777" w:rsidR="00F26667" w:rsidRDefault="00F26667" w:rsidP="00F26667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Directives, Information Notices, and IANs released</w:t>
                        </w:r>
                      </w:p>
                      <w:p w14:paraId="78E02E46" w14:textId="77777777" w:rsidR="00F26667" w:rsidRDefault="00F26667" w:rsidP="00F26667">
                        <w:pPr>
                          <w:spacing w:line="252" w:lineRule="auto"/>
                          <w:rPr>
                            <w:rFonts w:ascii="Arial" w:hAnsi="Arial" w:cs="Arial"/>
                          </w:rPr>
                        </w:pPr>
                        <w:hyperlink r:id="rId6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46B99"/>
                              <w:shd w:val="clear" w:color="auto" w:fill="FFFFFF"/>
                            </w:rPr>
                            <w:t>WSIN19-46</w:t>
                          </w:r>
                        </w:hyperlink>
                        <w:r>
                          <w:rPr>
                            <w:rFonts w:ascii="Arial" w:hAnsi="Arial" w:cs="Arial"/>
                            <w:color w:val="333333"/>
                            <w:shd w:val="clear" w:color="auto" w:fill="FFFFFF"/>
                          </w:rPr>
                          <w:t> - COVID-19 Distance Learning Resources</w:t>
                        </w:r>
                      </w:p>
                    </w:tc>
                  </w:tr>
                  <w:tr w:rsidR="00F26667" w14:paraId="0C8241DF" w14:textId="77777777">
                    <w:trPr>
                      <w:trHeight w:val="537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</w:tcPr>
                      <w:p w14:paraId="28A63D16" w14:textId="77777777" w:rsidR="00F26667" w:rsidRDefault="00F26667" w:rsidP="00F26667">
                        <w:pPr>
                          <w:spacing w:before="100" w:beforeAutospacing="1" w:after="100" w:afterAutospacing="1" w:line="252" w:lineRule="auto"/>
                          <w:rPr>
                            <w:rFonts w:ascii="Source Sans Pro" w:hAnsi="Source Sans Pro"/>
                            <w:color w:val="333333"/>
                          </w:rPr>
                        </w:pPr>
                      </w:p>
                    </w:tc>
                  </w:tr>
                  <w:tr w:rsidR="00F26667" w14:paraId="1D4BFAAF" w14:textId="77777777">
                    <w:trPr>
                      <w:trHeight w:val="80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4472C4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7C25C96C" w14:textId="77777777" w:rsidR="00F26667" w:rsidRDefault="00F26667" w:rsidP="00F26667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Standing Items</w:t>
                        </w:r>
                      </w:p>
                      <w:p w14:paraId="50AD2407" w14:textId="77777777" w:rsidR="00F26667" w:rsidRDefault="00F26667" w:rsidP="00F26667">
                        <w:pPr>
                          <w:pStyle w:val="Heading2"/>
                          <w:spacing w:before="150" w:beforeAutospacing="0"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There are no current standing items.</w:t>
                        </w:r>
                      </w:p>
                    </w:tc>
                  </w:tr>
                </w:tbl>
                <w:p w14:paraId="06DCD2C3" w14:textId="77777777" w:rsidR="00F26667" w:rsidRDefault="00F26667" w:rsidP="00F26667">
                  <w:pPr>
                    <w:framePr w:hSpace="171" w:wrap="around" w:vAnchor="text" w:hAnchor="text" w:xAlign="center"/>
                    <w:spacing w:line="252" w:lineRule="auto"/>
                    <w:rPr>
                      <w:rFonts w:ascii="Arial" w:hAnsi="Arial" w:cs="Arial"/>
                    </w:rPr>
                  </w:pPr>
                </w:p>
                <w:p w14:paraId="608E2561" w14:textId="77777777" w:rsidR="00F26667" w:rsidRDefault="00F26667" w:rsidP="00F26667">
                  <w:pPr>
                    <w:framePr w:hSpace="171" w:wrap="around" w:vAnchor="text" w:hAnchor="text" w:xAlign="center"/>
                    <w:spacing w:line="252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64DC842E" w14:textId="77777777" w:rsidR="00F26667" w:rsidRDefault="00F26667" w:rsidP="00634445">
            <w:pPr>
              <w:spacing w:line="252" w:lineRule="auto"/>
              <w:rPr>
                <w:rFonts w:ascii="Arial" w:hAnsi="Arial" w:cs="Arial"/>
              </w:rPr>
            </w:pPr>
          </w:p>
          <w:tbl>
            <w:tblPr>
              <w:tblW w:w="1060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9"/>
              <w:gridCol w:w="7823"/>
            </w:tblGrid>
            <w:tr w:rsidR="00F26667" w14:paraId="419E631F" w14:textId="77777777">
              <w:trPr>
                <w:cantSplit/>
                <w:trHeight w:hRule="exact" w:val="920"/>
              </w:trPr>
              <w:tc>
                <w:tcPr>
                  <w:tcW w:w="25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C7C55B" w14:textId="2AB636BF" w:rsidR="00F26667" w:rsidRDefault="00F26667" w:rsidP="00634445">
                  <w:pPr>
                    <w:framePr w:hSpace="171" w:wrap="around" w:vAnchor="text" w:hAnchor="text" w:xAlign="center"/>
                    <w:spacing w:line="252" w:lineRule="auto"/>
                    <w:ind w:right="7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 wp14:anchorId="7B559436" wp14:editId="289D042F">
                        <wp:extent cx="1574800" cy="571500"/>
                        <wp:effectExtent l="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EB1C6F" w14:textId="77777777" w:rsidR="00F26667" w:rsidRDefault="00F26667" w:rsidP="00634445">
                  <w:pPr>
                    <w:keepNext/>
                    <w:framePr w:hSpace="171" w:wrap="around" w:vAnchor="text" w:hAnchor="text" w:xAlign="center"/>
                    <w:spacing w:line="252" w:lineRule="auto"/>
                    <w:jc w:val="center"/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 xml:space="preserve">EDD </w:t>
                  </w:r>
                  <w:proofErr w:type="spellStart"/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>CalJOBS</w:t>
                  </w:r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  <w:vertAlign w:val="superscript"/>
                    </w:rPr>
                    <w:t>SM</w:t>
                  </w:r>
                  <w:proofErr w:type="spellEnd"/>
                  <w:r>
                    <w:rPr>
                      <w:rFonts w:ascii="Arial" w:hAnsi="Arial" w:cs="Arial"/>
                      <w:color w:val="2F5496"/>
                      <w:sz w:val="40"/>
                      <w:szCs w:val="40"/>
                    </w:rPr>
                    <w:t xml:space="preserve"> Updates Newsletter</w:t>
                  </w:r>
                </w:p>
                <w:p w14:paraId="42AEA936" w14:textId="77777777" w:rsidR="00F26667" w:rsidRDefault="00F26667" w:rsidP="00634445">
                  <w:pPr>
                    <w:keepNext/>
                    <w:framePr w:hSpace="171" w:wrap="around" w:vAnchor="text" w:hAnchor="text" w:xAlign="center"/>
                    <w:spacing w:line="252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Date: 05/29/2020   Number:20-21</w:t>
                  </w:r>
                </w:p>
              </w:tc>
            </w:tr>
          </w:tbl>
          <w:p w14:paraId="744D6251" w14:textId="77777777" w:rsidR="00F26667" w:rsidRDefault="00F26667" w:rsidP="00634445">
            <w:pPr>
              <w:spacing w:line="252" w:lineRule="auto"/>
              <w:rPr>
                <w:rFonts w:ascii="Arial" w:hAnsi="Arial" w:cs="Arial"/>
              </w:rPr>
            </w:pPr>
          </w:p>
        </w:tc>
      </w:tr>
    </w:tbl>
    <w:p w14:paraId="6125C02E" w14:textId="77777777" w:rsidR="00B314D7" w:rsidRDefault="00F26667"/>
    <w:sectPr w:rsidR="00B3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1A"/>
    <w:rsid w:val="001A4D0F"/>
    <w:rsid w:val="0092221A"/>
    <w:rsid w:val="00F079E1"/>
    <w:rsid w:val="00F2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A119"/>
  <w15:chartTrackingRefBased/>
  <w15:docId w15:val="{CC8454DC-E66B-438D-802C-660E857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66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2666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2666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66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667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266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2666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26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35AE.D878DEF0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d.ca.gov/Jobs_and_Training/pubs/wsin19-46.pdf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cid:image001.png@01D635AE.D878DEF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230CA5BC5D84F95A766133CA13B15" ma:contentTypeVersion="14" ma:contentTypeDescription="Create a new document." ma:contentTypeScope="" ma:versionID="6c7626e2bdf1b1f607eb40aedef0c7f5">
  <xsd:schema xmlns:xsd="http://www.w3.org/2001/XMLSchema" xmlns:xs="http://www.w3.org/2001/XMLSchema" xmlns:p="http://schemas.microsoft.com/office/2006/metadata/properties" xmlns:ns2="5278e7ee-ae9a-459d-b01d-3857635b46ab" xmlns:ns3="4074c55b-6d13-46cd-a027-7d67e1198dcf" targetNamespace="http://schemas.microsoft.com/office/2006/metadata/properties" ma:root="true" ma:fieldsID="ac13219b598eb7b952fbad96d723cfa1" ns2:_="" ns3:_="">
    <xsd:import namespace="5278e7ee-ae9a-459d-b01d-3857635b46ab"/>
    <xsd:import namespace="4074c55b-6d13-46cd-a027-7d67e1198d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e7ee-ae9a-459d-b01d-3857635b4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4c55b-6d13-46cd-a027-7d67e1198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CB335-40DE-4A43-92E0-3DC93116523E}"/>
</file>

<file path=customXml/itemProps2.xml><?xml version="1.0" encoding="utf-8"?>
<ds:datastoreItem xmlns:ds="http://schemas.openxmlformats.org/officeDocument/2006/customXml" ds:itemID="{C71C4471-D3EE-475A-BD63-544118DB1E24}"/>
</file>

<file path=customXml/itemProps3.xml><?xml version="1.0" encoding="utf-8"?>
<ds:datastoreItem xmlns:ds="http://schemas.openxmlformats.org/officeDocument/2006/customXml" ds:itemID="{F9749A9E-81CE-4ACC-A373-63DE06A21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Stevens</dc:creator>
  <cp:keywords/>
  <dc:description/>
  <cp:lastModifiedBy>Alex Stevens</cp:lastModifiedBy>
  <cp:revision>2</cp:revision>
  <dcterms:created xsi:type="dcterms:W3CDTF">2020-06-17T21:46:00Z</dcterms:created>
  <dcterms:modified xsi:type="dcterms:W3CDTF">2020-06-17T21:47:00Z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0x010100D14230CA5BC5D84F95A766133CA13B15</vt:lpwstr>
  </property>
</Properties>
</file>